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  <w:bookmarkStart w:id="0" w:name="_GoBack"/>
      <w:bookmarkEnd w:id="0"/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66754574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C67FDA" w:rsidRPr="00C67FDA">
        <w:rPr>
          <w:rFonts w:ascii="GHEA Grapalat" w:hAnsi="GHEA Grapalat" w:cs="Sylfaen"/>
          <w:szCs w:val="24"/>
          <w:lang w:val="hy-AM"/>
        </w:rPr>
        <w:t>Կոտայքի մարզի բաժնի վերանորոգման աշխատանքների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ԳՀԱ</w:t>
      </w:r>
      <w:r w:rsidR="00C67FDA" w:rsidRPr="00C67FDA">
        <w:rPr>
          <w:rFonts w:ascii="GHEA Grapalat" w:hAnsi="GHEA Grapalat" w:cs="Sylfaen"/>
          <w:szCs w:val="24"/>
          <w:lang w:val="hy-AM"/>
        </w:rPr>
        <w:t>Շ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20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C67FDA" w:rsidRPr="00C67FDA">
        <w:rPr>
          <w:rFonts w:ascii="GHEA Grapalat" w:hAnsi="GHEA Grapalat" w:cs="Sylfaen"/>
          <w:szCs w:val="24"/>
          <w:lang w:val="hy-AM"/>
        </w:rPr>
        <w:t>ապրիլի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C67FDA" w:rsidRPr="00C67FDA">
        <w:rPr>
          <w:rFonts w:ascii="GHEA Grapalat" w:hAnsi="GHEA Grapalat" w:cs="Sylfaen"/>
          <w:szCs w:val="24"/>
          <w:lang w:val="hy-AM"/>
        </w:rPr>
        <w:t>8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C67FDA" w:rsidRPr="00C67FDA">
        <w:rPr>
          <w:rFonts w:ascii="GHEA Grapalat" w:hAnsi="GHEA Grapalat" w:cs="Sylfaen"/>
          <w:szCs w:val="24"/>
          <w:lang w:val="hy-AM"/>
        </w:rPr>
        <w:t>Շ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20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446047">
        <w:rPr>
          <w:rFonts w:ascii="GHEA Grapalat" w:hAnsi="GHEA Grapalat" w:cs="Sylfaen"/>
          <w:szCs w:val="24"/>
          <w:lang w:val="hy-AM"/>
        </w:rPr>
        <w:t xml:space="preserve">թվականի </w:t>
      </w:r>
      <w:r w:rsidR="00C67FDA" w:rsidRPr="00446047">
        <w:rPr>
          <w:rFonts w:ascii="GHEA Grapalat" w:hAnsi="GHEA Grapalat" w:cs="Sylfaen"/>
          <w:szCs w:val="24"/>
          <w:lang w:val="hy-AM"/>
        </w:rPr>
        <w:t xml:space="preserve">ապրիլի </w:t>
      </w:r>
      <w:r w:rsidR="00446047" w:rsidRPr="00446047">
        <w:rPr>
          <w:rFonts w:ascii="GHEA Grapalat" w:hAnsi="GHEA Grapalat" w:cs="Sylfaen"/>
          <w:szCs w:val="24"/>
          <w:lang w:val="af-ZA"/>
        </w:rPr>
        <w:t>23</w:t>
      </w:r>
      <w:r w:rsidRPr="00446047">
        <w:rPr>
          <w:rFonts w:ascii="GHEA Grapalat" w:hAnsi="GHEA Grapalat" w:cs="Sylfaen"/>
          <w:szCs w:val="24"/>
          <w:lang w:val="hy-AM"/>
        </w:rPr>
        <w:t>-ին կատարված</w:t>
      </w:r>
      <w:r w:rsidRPr="00C67FDA">
        <w:rPr>
          <w:rFonts w:ascii="GHEA Grapalat" w:hAnsi="GHEA Grapalat" w:cs="Sylfaen"/>
          <w:szCs w:val="24"/>
          <w:lang w:val="hy-AM"/>
        </w:rPr>
        <w:t xml:space="preserve">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C28239" w14:textId="77777777" w:rsidR="00AE202D" w:rsidRDefault="00AE202D">
      <w:r>
        <w:separator/>
      </w:r>
    </w:p>
  </w:endnote>
  <w:endnote w:type="continuationSeparator" w:id="0">
    <w:p w14:paraId="0EC7C5AD" w14:textId="77777777" w:rsidR="00AE202D" w:rsidRDefault="00AE2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AE202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AE202D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AE20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97E5C" w14:textId="77777777" w:rsidR="00AE202D" w:rsidRDefault="00AE202D">
      <w:r>
        <w:separator/>
      </w:r>
    </w:p>
  </w:footnote>
  <w:footnote w:type="continuationSeparator" w:id="0">
    <w:p w14:paraId="460653D6" w14:textId="77777777" w:rsidR="00AE202D" w:rsidRDefault="00AE2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AE20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AE202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AE20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17044B"/>
    <w:rsid w:val="00292C8E"/>
    <w:rsid w:val="002C47C4"/>
    <w:rsid w:val="00446047"/>
    <w:rsid w:val="004F6568"/>
    <w:rsid w:val="006254E7"/>
    <w:rsid w:val="00AE202D"/>
    <w:rsid w:val="00B4037D"/>
    <w:rsid w:val="00C67FDA"/>
    <w:rsid w:val="00DA20FE"/>
    <w:rsid w:val="00DD2DD6"/>
    <w:rsid w:val="00E36F72"/>
    <w:rsid w:val="00FD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2020-04-27T11:39:00Z</dcterms:created>
  <dcterms:modified xsi:type="dcterms:W3CDTF">2020-04-27T11:39:00Z</dcterms:modified>
</cp:coreProperties>
</file>